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02" w:rsidRDefault="00964402" w:rsidP="0096440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964402" w:rsidRDefault="00964402" w:rsidP="00964402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 xml:space="preserve">ого конкурсу 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>.</w:t>
      </w:r>
    </w:p>
    <w:p w:rsidR="00964402" w:rsidRPr="00CD42E1" w:rsidRDefault="00964402" w:rsidP="00964402">
      <w:pPr>
        <w:jc w:val="center"/>
        <w:rPr>
          <w:b/>
          <w:sz w:val="28"/>
          <w:szCs w:val="28"/>
          <w:lang w:val="uk-UA"/>
        </w:rPr>
      </w:pPr>
    </w:p>
    <w:p w:rsidR="00964402" w:rsidRPr="006E28FD" w:rsidRDefault="00964402" w:rsidP="0096440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964402" w:rsidRDefault="00964402" w:rsidP="00964402">
      <w:pPr>
        <w:ind w:firstLine="567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D42E1">
        <w:rPr>
          <w:b/>
          <w:sz w:val="28"/>
          <w:szCs w:val="28"/>
          <w:lang w:val="uk-UA"/>
        </w:rPr>
        <w:t>«Комп’ютерна перлинка»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>і</w:t>
      </w:r>
      <w:r w:rsidRPr="00D857CA">
        <w:rPr>
          <w:sz w:val="28"/>
          <w:szCs w:val="28"/>
          <w:lang w:val="uk-UA"/>
        </w:rPr>
        <w:t xml:space="preserve">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964402" w:rsidRPr="00CD42E1" w:rsidRDefault="00964402" w:rsidP="00964402">
      <w:pPr>
        <w:pStyle w:val="a8"/>
        <w:spacing w:after="0"/>
        <w:ind w:left="0" w:firstLine="540"/>
        <w:jc w:val="both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>1.2. Основна мета проведення конкурсу – це максимальне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:rsidR="00964402" w:rsidRPr="00CD42E1" w:rsidRDefault="00964402" w:rsidP="00964402">
      <w:pPr>
        <w:pStyle w:val="a8"/>
        <w:spacing w:after="0"/>
        <w:ind w:left="0" w:firstLine="540"/>
        <w:rPr>
          <w:sz w:val="28"/>
          <w:szCs w:val="28"/>
        </w:rPr>
      </w:pPr>
      <w:r w:rsidRPr="00CD42E1">
        <w:rPr>
          <w:sz w:val="28"/>
          <w:szCs w:val="28"/>
        </w:rPr>
        <w:t>1.</w:t>
      </w:r>
      <w:r w:rsidRPr="00CD42E1">
        <w:rPr>
          <w:sz w:val="28"/>
          <w:szCs w:val="28"/>
          <w:lang w:val="uk-UA"/>
        </w:rPr>
        <w:t>3.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Основні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завдання</w:t>
      </w:r>
      <w:proofErr w:type="spellEnd"/>
      <w:r w:rsidRPr="00CD42E1">
        <w:rPr>
          <w:sz w:val="28"/>
          <w:szCs w:val="28"/>
        </w:rPr>
        <w:t xml:space="preserve"> конкурсу: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техніку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:rsidR="00964402" w:rsidRPr="00CD42E1" w:rsidRDefault="00964402" w:rsidP="00964402">
      <w:pPr>
        <w:pStyle w:val="a8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964402" w:rsidRPr="006E28FD" w:rsidRDefault="00964402" w:rsidP="0096440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04445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452CA8" w:rsidRPr="00A90E9F" w:rsidRDefault="00FF51F7" w:rsidP="00452CA8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2024</w:t>
      </w:r>
      <w:r w:rsidR="00452CA8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році конкурс буде проводитися дистанційно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11.03.2024</w:t>
      </w:r>
      <w:r w:rsidR="00452CA8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.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D42E1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2.1.</w:t>
      </w:r>
      <w:proofErr w:type="spellStart"/>
      <w:r w:rsidRPr="00CD42E1">
        <w:rPr>
          <w:bCs/>
          <w:iCs/>
          <w:sz w:val="28"/>
          <w:szCs w:val="28"/>
        </w:rPr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proofErr w:type="spellStart"/>
      <w:r w:rsidRPr="00CD42E1">
        <w:rPr>
          <w:bCs/>
          <w:iCs/>
          <w:sz w:val="28"/>
          <w:szCs w:val="28"/>
          <w:lang w:val="uk-UA"/>
        </w:rPr>
        <w:t>двух</w:t>
      </w:r>
      <w:proofErr w:type="spellEnd"/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>:</w:t>
      </w:r>
      <w:r w:rsidRPr="00CD42E1">
        <w:rPr>
          <w:bCs/>
          <w:iCs/>
          <w:sz w:val="28"/>
          <w:szCs w:val="28"/>
          <w:lang w:val="uk-UA"/>
        </w:rPr>
        <w:t xml:space="preserve"> </w:t>
      </w:r>
      <w:r w:rsidRPr="00CD42E1">
        <w:rPr>
          <w:kern w:val="20"/>
          <w:sz w:val="28"/>
          <w:szCs w:val="28"/>
          <w:lang w:val="uk-UA"/>
        </w:rPr>
        <w:t>«Комп’ютерний вернісаж» та «Графічне програмування»</w:t>
      </w:r>
      <w:r w:rsidRPr="00CD42E1">
        <w:rPr>
          <w:bCs/>
          <w:iCs/>
          <w:sz w:val="28"/>
          <w:szCs w:val="28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 w:rsidRPr="00CD42E1">
        <w:rPr>
          <w:bCs/>
          <w:iCs/>
          <w:sz w:val="28"/>
          <w:szCs w:val="28"/>
        </w:rPr>
        <w:t xml:space="preserve"> за участь у </w:t>
      </w:r>
      <w:proofErr w:type="spellStart"/>
      <w:r w:rsidRPr="00CD42E1">
        <w:rPr>
          <w:bCs/>
          <w:iCs/>
          <w:sz w:val="28"/>
          <w:szCs w:val="28"/>
        </w:rPr>
        <w:t>двох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номінаціях</w:t>
      </w:r>
      <w:proofErr w:type="spellEnd"/>
      <w:r w:rsidRPr="00CD42E1">
        <w:rPr>
          <w:bCs/>
          <w:iCs/>
          <w:sz w:val="28"/>
          <w:szCs w:val="28"/>
        </w:rPr>
        <w:t xml:space="preserve">. 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A24C0F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A24C0F">
        <w:rPr>
          <w:sz w:val="28"/>
          <w:szCs w:val="28"/>
          <w:lang w:val="uk-UA"/>
        </w:rPr>
        <w:t>Делегації або учасники, які допустили порушення</w:t>
      </w:r>
      <w:r>
        <w:rPr>
          <w:sz w:val="28"/>
          <w:szCs w:val="28"/>
          <w:lang w:val="uk-UA"/>
        </w:rPr>
        <w:t xml:space="preserve"> Умов проведення конкурсу </w:t>
      </w:r>
      <w:r w:rsidRPr="00A24C0F">
        <w:rPr>
          <w:sz w:val="28"/>
          <w:szCs w:val="28"/>
          <w:lang w:val="uk-UA"/>
        </w:rPr>
        <w:t xml:space="preserve">одержують стягнення або взагалі дискваліфікуються. Вирішальне слово в </w:t>
      </w:r>
      <w:r w:rsidRPr="00A24C0F">
        <w:rPr>
          <w:sz w:val="28"/>
          <w:szCs w:val="28"/>
          <w:lang w:val="uk-UA"/>
        </w:rPr>
        <w:lastRenderedPageBreak/>
        <w:t>таких випадках має представник ДОЦНТТ та ІТУМ, відповідальний за проведення конкурсу.</w:t>
      </w:r>
    </w:p>
    <w:p w:rsidR="00964402" w:rsidRPr="00CD42E1" w:rsidRDefault="00964402" w:rsidP="00964402">
      <w:pPr>
        <w:ind w:firstLine="567"/>
        <w:rPr>
          <w:kern w:val="20"/>
          <w:sz w:val="28"/>
          <w:szCs w:val="28"/>
          <w:lang w:val="uk-UA"/>
        </w:rPr>
      </w:pPr>
      <w:r w:rsidRPr="00CD42E1">
        <w:rPr>
          <w:kern w:val="20"/>
          <w:sz w:val="28"/>
          <w:szCs w:val="28"/>
          <w:lang w:val="uk-UA"/>
        </w:rPr>
        <w:t>2.5. Умови проведення конкурсу в номінації 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964402" w:rsidRPr="00A24C0F" w:rsidRDefault="00964402" w:rsidP="00964402">
      <w:pPr>
        <w:tabs>
          <w:tab w:val="num" w:pos="720"/>
        </w:tabs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 В номінації «Комп’ютерний вернісаж» конкурс складається з двох частин: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 w:rsidR="00452CA8">
        <w:rPr>
          <w:kern w:val="20"/>
          <w:sz w:val="28"/>
          <w:szCs w:val="28"/>
          <w:lang w:val="uk-UA"/>
        </w:rPr>
        <w:t>, формат А4.</w:t>
      </w:r>
    </w:p>
    <w:p w:rsidR="00964402" w:rsidRPr="00A24C0F" w:rsidRDefault="00964402" w:rsidP="00964402">
      <w:pPr>
        <w:numPr>
          <w:ilvl w:val="0"/>
          <w:numId w:val="6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964402" w:rsidRPr="00A24C0F" w:rsidRDefault="00964402" w:rsidP="0096440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завдання;</w:t>
      </w:r>
    </w:p>
    <w:p w:rsidR="00964402" w:rsidRPr="00A24C0F" w:rsidRDefault="00964402" w:rsidP="00964402">
      <w:pPr>
        <w:numPr>
          <w:ilvl w:val="0"/>
          <w:numId w:val="4"/>
        </w:numPr>
        <w:tabs>
          <w:tab w:val="clear" w:pos="720"/>
          <w:tab w:val="num" w:pos="900"/>
        </w:tabs>
        <w:ind w:left="900"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оформлення.</w:t>
      </w:r>
    </w:p>
    <w:p w:rsidR="00964402" w:rsidRPr="00CD42E1" w:rsidRDefault="00964402" w:rsidP="00964402">
      <w:pPr>
        <w:ind w:firstLine="540"/>
        <w:rPr>
          <w:sz w:val="28"/>
          <w:szCs w:val="28"/>
          <w:lang w:val="uk-UA"/>
        </w:rPr>
      </w:pPr>
      <w:r w:rsidRPr="00CD42E1">
        <w:rPr>
          <w:sz w:val="28"/>
          <w:szCs w:val="28"/>
          <w:lang w:val="uk-UA"/>
        </w:rPr>
        <w:t xml:space="preserve">2.6. </w:t>
      </w:r>
      <w:r w:rsidRPr="00CD42E1">
        <w:rPr>
          <w:kern w:val="20"/>
          <w:sz w:val="28"/>
          <w:szCs w:val="28"/>
          <w:lang w:val="uk-UA"/>
        </w:rPr>
        <w:t>Умови проведення конкурсу в номінації «Графічне програмування»:</w:t>
      </w:r>
    </w:p>
    <w:p w:rsidR="00964402" w:rsidRPr="00A24C0F" w:rsidRDefault="00964402" w:rsidP="00964402">
      <w:pPr>
        <w:ind w:firstLine="5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В номінації «Графічне програмув</w:t>
      </w:r>
      <w:r>
        <w:rPr>
          <w:sz w:val="28"/>
          <w:szCs w:val="28"/>
          <w:lang w:val="uk-UA"/>
        </w:rPr>
        <w:t>ання»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 w:rsidR="00382968"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комп’ютера, отриманий ним (в</w:t>
      </w:r>
      <w:r w:rsidR="00452CA8"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:rsidR="00964402" w:rsidRPr="00A24C0F" w:rsidRDefault="00964402" w:rsidP="00964402">
      <w:pPr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Критерії оцінювання робіт: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точність виконання завдання;</w:t>
      </w:r>
    </w:p>
    <w:p w:rsidR="00964402" w:rsidRPr="00A24C0F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відповідність оформлення програми вимогам естетики і стилю;</w:t>
      </w:r>
    </w:p>
    <w:p w:rsidR="00964402" w:rsidRDefault="00964402" w:rsidP="00964402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якість і стиль викладення матеріалу при захисті роботи.</w:t>
      </w:r>
    </w:p>
    <w:p w:rsidR="00452CA8" w:rsidRPr="00D73298" w:rsidRDefault="00452CA8" w:rsidP="00452CA8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Після виконання конкурсного завдання учасник створює папку, в яку зберігає всі три конкурсні роботи</w:t>
      </w:r>
      <w:r w:rsidR="00D73298" w:rsidRPr="00D73298">
        <w:rPr>
          <w:sz w:val="28"/>
          <w:szCs w:val="28"/>
          <w:lang w:val="uk-UA"/>
        </w:rPr>
        <w:t xml:space="preserve"> (2 – </w:t>
      </w:r>
      <w:r w:rsidR="00D73298">
        <w:rPr>
          <w:sz w:val="28"/>
          <w:szCs w:val="28"/>
          <w:lang w:val="uk-UA"/>
        </w:rPr>
        <w:t xml:space="preserve">номінація </w:t>
      </w:r>
      <w:r w:rsidR="00D73298" w:rsidRPr="00CD42E1">
        <w:rPr>
          <w:kern w:val="20"/>
          <w:sz w:val="28"/>
          <w:szCs w:val="28"/>
          <w:lang w:val="uk-UA"/>
        </w:rPr>
        <w:t>«Комп’ютерний вернісаж»</w:t>
      </w:r>
      <w:r w:rsidR="00D73298">
        <w:rPr>
          <w:kern w:val="20"/>
          <w:sz w:val="28"/>
          <w:szCs w:val="28"/>
          <w:lang w:val="uk-UA"/>
        </w:rPr>
        <w:t xml:space="preserve"> (Д/з + конкурсне завдання)), 1-</w:t>
      </w:r>
      <w:r w:rsidR="00D73298" w:rsidRPr="00D73298">
        <w:rPr>
          <w:sz w:val="28"/>
          <w:szCs w:val="28"/>
          <w:lang w:val="uk-UA"/>
        </w:rPr>
        <w:t xml:space="preserve"> </w:t>
      </w:r>
      <w:r w:rsidR="00D73298">
        <w:rPr>
          <w:sz w:val="28"/>
          <w:szCs w:val="28"/>
          <w:lang w:val="uk-UA"/>
        </w:rPr>
        <w:t xml:space="preserve">номінація </w:t>
      </w:r>
      <w:r w:rsidR="00D73298">
        <w:rPr>
          <w:kern w:val="20"/>
          <w:sz w:val="28"/>
          <w:szCs w:val="28"/>
          <w:lang w:val="uk-UA"/>
        </w:rPr>
        <w:t xml:space="preserve"> </w:t>
      </w:r>
      <w:r w:rsidR="00D73298" w:rsidRPr="00A24C0F">
        <w:rPr>
          <w:sz w:val="28"/>
          <w:szCs w:val="28"/>
          <w:lang w:val="uk-UA"/>
        </w:rPr>
        <w:t>«Графічне програмув</w:t>
      </w:r>
      <w:r w:rsidR="00D73298">
        <w:rPr>
          <w:sz w:val="28"/>
          <w:szCs w:val="28"/>
          <w:lang w:val="uk-UA"/>
        </w:rPr>
        <w:t>ання»)</w:t>
      </w:r>
      <w:r>
        <w:rPr>
          <w:sz w:val="28"/>
          <w:szCs w:val="28"/>
          <w:lang w:val="uk-UA"/>
        </w:rPr>
        <w:t xml:space="preserve">. Назва папки </w:t>
      </w:r>
      <w:proofErr w:type="spellStart"/>
      <w:r w:rsidRPr="00452CA8">
        <w:rPr>
          <w:b/>
          <w:sz w:val="28"/>
          <w:szCs w:val="28"/>
          <w:lang w:val="uk-UA"/>
        </w:rPr>
        <w:t>Призвіще</w:t>
      </w:r>
      <w:proofErr w:type="spellEnd"/>
      <w:r w:rsidRPr="00452CA8">
        <w:rPr>
          <w:b/>
          <w:sz w:val="28"/>
          <w:szCs w:val="28"/>
          <w:lang w:val="uk-UA"/>
        </w:rPr>
        <w:t xml:space="preserve"> Ім’я По-батькові</w:t>
      </w:r>
      <w:r>
        <w:rPr>
          <w:b/>
          <w:sz w:val="28"/>
          <w:szCs w:val="28"/>
          <w:lang w:val="uk-UA"/>
        </w:rPr>
        <w:t xml:space="preserve"> </w:t>
      </w:r>
      <w:r w:rsidRPr="00452CA8">
        <w:rPr>
          <w:sz w:val="28"/>
          <w:szCs w:val="28"/>
          <w:lang w:val="uk-UA"/>
        </w:rPr>
        <w:t>учасника конкурсу</w:t>
      </w:r>
      <w:r w:rsidR="00D73298">
        <w:rPr>
          <w:sz w:val="28"/>
          <w:szCs w:val="28"/>
          <w:lang w:val="uk-UA"/>
        </w:rPr>
        <w:t xml:space="preserve"> (наприклад </w:t>
      </w:r>
      <w:r w:rsidR="00D73298" w:rsidRPr="00D73298">
        <w:rPr>
          <w:b/>
          <w:sz w:val="28"/>
          <w:szCs w:val="28"/>
          <w:lang w:val="uk-UA"/>
        </w:rPr>
        <w:t>Петров Василь Олександрович</w:t>
      </w:r>
      <w:r w:rsidR="00D73298">
        <w:rPr>
          <w:sz w:val="28"/>
          <w:szCs w:val="28"/>
          <w:lang w:val="uk-UA"/>
        </w:rPr>
        <w:t xml:space="preserve">). Папку потрібно </w:t>
      </w:r>
      <w:proofErr w:type="spellStart"/>
      <w:r w:rsidR="00D73298">
        <w:rPr>
          <w:sz w:val="28"/>
          <w:szCs w:val="28"/>
          <w:lang w:val="uk-UA"/>
        </w:rPr>
        <w:t>заархівувати</w:t>
      </w:r>
      <w:proofErr w:type="spellEnd"/>
      <w:r w:rsidR="00D73298"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="00D73298"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="00D73298" w:rsidRPr="0001448C">
          <w:rPr>
            <w:rStyle w:val="a3"/>
            <w:b/>
            <w:sz w:val="28"/>
            <w:szCs w:val="28"/>
          </w:rPr>
          <w:t>@</w:t>
        </w:r>
        <w:r w:rsidR="00D73298" w:rsidRPr="0001448C">
          <w:rPr>
            <w:rStyle w:val="a3"/>
            <w:b/>
            <w:sz w:val="28"/>
            <w:szCs w:val="28"/>
            <w:lang w:val="en-US"/>
          </w:rPr>
          <w:t>ukr</w:t>
        </w:r>
        <w:r w:rsidR="00D73298" w:rsidRPr="0001448C">
          <w:rPr>
            <w:rStyle w:val="a3"/>
            <w:b/>
            <w:sz w:val="28"/>
            <w:szCs w:val="28"/>
          </w:rPr>
          <w:t>.</w:t>
        </w:r>
        <w:r w:rsidR="00D73298"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 w:rsidR="00D73298">
        <w:rPr>
          <w:b/>
          <w:sz w:val="28"/>
          <w:szCs w:val="28"/>
          <w:lang w:val="uk-UA"/>
        </w:rPr>
        <w:t xml:space="preserve"> </w:t>
      </w:r>
      <w:r w:rsidR="00D73298" w:rsidRPr="00D73298">
        <w:rPr>
          <w:sz w:val="28"/>
          <w:szCs w:val="28"/>
          <w:lang w:val="uk-UA"/>
        </w:rPr>
        <w:t xml:space="preserve">не пізніше часу, який </w:t>
      </w:r>
      <w:r w:rsidR="00D73298">
        <w:rPr>
          <w:sz w:val="28"/>
          <w:szCs w:val="28"/>
          <w:lang w:val="uk-UA"/>
        </w:rPr>
        <w:t xml:space="preserve">було </w:t>
      </w:r>
      <w:r w:rsidR="00D73298" w:rsidRPr="00D73298">
        <w:rPr>
          <w:sz w:val="28"/>
          <w:szCs w:val="28"/>
          <w:lang w:val="uk-UA"/>
        </w:rPr>
        <w:t>вказан</w:t>
      </w:r>
      <w:r w:rsidR="00D73298">
        <w:rPr>
          <w:sz w:val="28"/>
          <w:szCs w:val="28"/>
          <w:lang w:val="uk-UA"/>
        </w:rPr>
        <w:t>о</w:t>
      </w:r>
      <w:r w:rsidR="00D73298" w:rsidRPr="00D73298">
        <w:rPr>
          <w:sz w:val="28"/>
          <w:szCs w:val="28"/>
          <w:lang w:val="uk-UA"/>
        </w:rPr>
        <w:t xml:space="preserve"> у листі з завданням.</w:t>
      </w:r>
    </w:p>
    <w:p w:rsidR="00964402" w:rsidRPr="005E01F8" w:rsidRDefault="00964402" w:rsidP="00964402">
      <w:pPr>
        <w:rPr>
          <w:sz w:val="28"/>
          <w:szCs w:val="28"/>
          <w:lang w:val="uk-UA"/>
        </w:rPr>
      </w:pP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964402" w:rsidRPr="000D0A3B" w:rsidRDefault="00964402" w:rsidP="00964402">
      <w:pPr>
        <w:pStyle w:val="a6"/>
        <w:ind w:firstLine="540"/>
        <w:jc w:val="both"/>
        <w:rPr>
          <w:sz w:val="28"/>
          <w:szCs w:val="28"/>
        </w:rPr>
      </w:pPr>
      <w:r w:rsidRPr="000D0A3B">
        <w:rPr>
          <w:sz w:val="28"/>
          <w:szCs w:val="28"/>
          <w:lang w:val="uk-UA"/>
        </w:rPr>
        <w:t xml:space="preserve">3.1. В конкурсі приймають участь команди  шкіл та позашкільних закладів </w:t>
      </w:r>
      <w:r w:rsidR="00FF51F7">
        <w:rPr>
          <w:sz w:val="28"/>
          <w:szCs w:val="28"/>
          <w:lang w:val="uk-UA"/>
        </w:rPr>
        <w:t>області з учнівської молоді, які навчаються у 5-7 класах</w:t>
      </w:r>
      <w:r w:rsidRPr="000D0A3B">
        <w:rPr>
          <w:sz w:val="28"/>
          <w:szCs w:val="28"/>
          <w:lang w:val="uk-UA"/>
        </w:rPr>
        <w:t xml:space="preserve">. </w:t>
      </w:r>
      <w:r w:rsidRPr="000D0A3B">
        <w:rPr>
          <w:sz w:val="28"/>
          <w:szCs w:val="28"/>
        </w:rPr>
        <w:t xml:space="preserve">При </w:t>
      </w:r>
      <w:proofErr w:type="spellStart"/>
      <w:r w:rsidRPr="000D0A3B">
        <w:rPr>
          <w:sz w:val="28"/>
          <w:szCs w:val="28"/>
        </w:rPr>
        <w:t>бажанні</w:t>
      </w:r>
      <w:proofErr w:type="spellEnd"/>
      <w:r w:rsidRPr="000D0A3B">
        <w:rPr>
          <w:sz w:val="28"/>
          <w:szCs w:val="28"/>
        </w:rPr>
        <w:t xml:space="preserve"> заклад </w:t>
      </w:r>
      <w:proofErr w:type="spellStart"/>
      <w:r w:rsidRPr="000D0A3B">
        <w:rPr>
          <w:sz w:val="28"/>
          <w:szCs w:val="28"/>
        </w:rPr>
        <w:t>має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можливість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виставляти</w:t>
      </w:r>
      <w:proofErr w:type="spellEnd"/>
      <w:r w:rsidRPr="000D0A3B">
        <w:rPr>
          <w:sz w:val="28"/>
          <w:szCs w:val="28"/>
        </w:rPr>
        <w:t xml:space="preserve"> на </w:t>
      </w:r>
      <w:proofErr w:type="gramStart"/>
      <w:r w:rsidRPr="000D0A3B">
        <w:rPr>
          <w:sz w:val="28"/>
          <w:szCs w:val="28"/>
        </w:rPr>
        <w:t xml:space="preserve">конкурс </w:t>
      </w:r>
      <w:proofErr w:type="spellStart"/>
      <w:r w:rsidRPr="000D0A3B">
        <w:rPr>
          <w:sz w:val="28"/>
          <w:szCs w:val="28"/>
        </w:rPr>
        <w:t>б</w:t>
      </w:r>
      <w:proofErr w:type="gramEnd"/>
      <w:r w:rsidRPr="000D0A3B">
        <w:rPr>
          <w:sz w:val="28"/>
          <w:szCs w:val="28"/>
        </w:rPr>
        <w:t>ільше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одної</w:t>
      </w:r>
      <w:proofErr w:type="spellEnd"/>
      <w:r w:rsidRPr="000D0A3B">
        <w:rPr>
          <w:sz w:val="28"/>
          <w:szCs w:val="28"/>
        </w:rPr>
        <w:t xml:space="preserve"> </w:t>
      </w:r>
      <w:proofErr w:type="spellStart"/>
      <w:r w:rsidRPr="000D0A3B">
        <w:rPr>
          <w:sz w:val="28"/>
          <w:szCs w:val="28"/>
        </w:rPr>
        <w:t>команди</w:t>
      </w:r>
      <w:proofErr w:type="spellEnd"/>
      <w:r w:rsidRPr="000D0A3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64402" w:rsidRPr="001D53DA" w:rsidRDefault="00964402" w:rsidP="00964402">
      <w:pPr>
        <w:pStyle w:val="a6"/>
        <w:spacing w:after="0"/>
        <w:ind w:firstLine="426"/>
        <w:jc w:val="both"/>
        <w:rPr>
          <w:sz w:val="28"/>
          <w:szCs w:val="28"/>
        </w:rPr>
      </w:pPr>
    </w:p>
    <w:p w:rsidR="00964402" w:rsidRPr="006E28FD" w:rsidRDefault="00964402" w:rsidP="00964402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964402" w:rsidRDefault="00964402" w:rsidP="00964402">
      <w:pPr>
        <w:shd w:val="clear" w:color="auto" w:fill="FFFFFF"/>
        <w:ind w:firstLine="450"/>
        <w:jc w:val="both"/>
        <w:textAlignment w:val="baseline"/>
        <w:rPr>
          <w:b/>
          <w:sz w:val="26"/>
          <w:szCs w:val="26"/>
          <w:u w:val="single"/>
          <w:lang w:val="uk-UA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</w:t>
      </w:r>
      <w:bookmarkStart w:id="0" w:name="n42"/>
      <w:bookmarkStart w:id="1" w:name="n43"/>
      <w:bookmarkEnd w:id="0"/>
      <w:bookmarkEnd w:id="1"/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Для </w:t>
      </w:r>
      <w:r w:rsidR="00D73298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обов’язкове попереднє анкетування за посиланням </w:t>
      </w:r>
      <w:r w:rsidR="00502230">
        <w:rPr>
          <w:rFonts w:eastAsia="Times New Roman"/>
          <w:color w:val="000000"/>
          <w:sz w:val="28"/>
          <w:szCs w:val="28"/>
          <w:lang w:val="uk-UA" w:eastAsia="ru-RU"/>
        </w:rPr>
        <w:t xml:space="preserve">за два тижні до початку конкурсу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D918D4" w:rsidRDefault="00D918D4" w:rsidP="00D918D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з мокрою печаткою</w:t>
      </w:r>
      <w:r w:rsidR="00FF51F7">
        <w:rPr>
          <w:sz w:val="28"/>
          <w:szCs w:val="28"/>
          <w:lang w:val="uk-UA"/>
        </w:rPr>
        <w:t xml:space="preserve"> навчального закладу</w:t>
      </w:r>
      <w:r>
        <w:rPr>
          <w:sz w:val="28"/>
          <w:szCs w:val="28"/>
          <w:lang w:val="uk-UA"/>
        </w:rPr>
        <w:t xml:space="preserve"> надсилається керівником делегації</w:t>
      </w:r>
      <w:r w:rsidR="00FF51F7">
        <w:rPr>
          <w:sz w:val="28"/>
          <w:szCs w:val="28"/>
          <w:lang w:val="uk-UA"/>
        </w:rPr>
        <w:t xml:space="preserve"> на адресу</w:t>
      </w:r>
      <w:r w:rsidR="00811939">
        <w:rPr>
          <w:sz w:val="28"/>
          <w:szCs w:val="28"/>
          <w:lang w:val="uk-UA"/>
        </w:rPr>
        <w:t>:</w:t>
      </w:r>
      <w:bookmarkStart w:id="2" w:name="_GoBack"/>
      <w:bookmarkEnd w:id="2"/>
      <w:r w:rsidR="00FF51F7">
        <w:rPr>
          <w:sz w:val="28"/>
          <w:szCs w:val="28"/>
          <w:lang w:val="uk-UA"/>
        </w:rPr>
        <w:t xml:space="preserve"> </w:t>
      </w:r>
      <w:r w:rsidR="00811939">
        <w:rPr>
          <w:b/>
          <w:i/>
          <w:sz w:val="28"/>
          <w:szCs w:val="28"/>
          <w:lang w:val="uk-UA"/>
        </w:rPr>
        <w:t xml:space="preserve">49101, </w:t>
      </w:r>
      <w:proofErr w:type="spellStart"/>
      <w:r w:rsidR="00FF51F7">
        <w:rPr>
          <w:sz w:val="28"/>
          <w:szCs w:val="28"/>
          <w:lang w:val="uk-UA"/>
        </w:rPr>
        <w:t>м.Дніпро</w:t>
      </w:r>
      <w:proofErr w:type="spellEnd"/>
      <w:r w:rsidR="00FF51F7">
        <w:rPr>
          <w:sz w:val="28"/>
          <w:szCs w:val="28"/>
          <w:lang w:val="uk-UA"/>
        </w:rPr>
        <w:t>, вул. Ульянова, 4, кабінет 203-Відділ інформаційних технологій</w:t>
      </w:r>
      <w:r>
        <w:rPr>
          <w:sz w:val="28"/>
          <w:szCs w:val="28"/>
          <w:lang w:val="uk-UA"/>
        </w:rPr>
        <w:t xml:space="preserve">. 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 xml:space="preserve">посилання </w:t>
      </w:r>
      <w:r w:rsidRPr="00C73A66">
        <w:rPr>
          <w:sz w:val="28"/>
          <w:szCs w:val="28"/>
          <w:lang w:val="uk-UA"/>
        </w:rPr>
        <w:lastRenderedPageBreak/>
        <w:t>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>
        <w:rPr>
          <w:sz w:val="28"/>
          <w:szCs w:val="28"/>
          <w:lang w:val="uk-UA"/>
        </w:rPr>
        <w:t>двух</w:t>
      </w:r>
      <w:proofErr w:type="spellEnd"/>
      <w:r>
        <w:rPr>
          <w:sz w:val="28"/>
          <w:szCs w:val="28"/>
          <w:lang w:val="uk-UA"/>
        </w:rPr>
        <w:t xml:space="preserve"> тижнів до початку конкурсу.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04445" w:rsidRPr="00753642" w:rsidRDefault="00B04445" w:rsidP="00B044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закладу.</w:t>
      </w:r>
    </w:p>
    <w:p w:rsidR="00B04445" w:rsidRPr="00B04445" w:rsidRDefault="00B04445" w:rsidP="00D918D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964402" w:rsidRPr="00D5060C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класу.</w:t>
      </w:r>
    </w:p>
    <w:p w:rsidR="00964402" w:rsidRPr="00EE40D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3" w:name="n44"/>
      <w:bookmarkEnd w:id="3"/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964402" w:rsidRPr="006E28FD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D00621" w:rsidRDefault="00964402" w:rsidP="0096440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964402" w:rsidRPr="00936D27" w:rsidRDefault="00964402" w:rsidP="0096440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964402" w:rsidRDefault="00964402" w:rsidP="00964402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964402" w:rsidRDefault="00964402" w:rsidP="00964402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964402" w:rsidRPr="00D00621" w:rsidRDefault="00964402" w:rsidP="00964402">
      <w:pPr>
        <w:jc w:val="both"/>
        <w:rPr>
          <w:sz w:val="28"/>
          <w:szCs w:val="28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964402" w:rsidRDefault="00964402" w:rsidP="0096440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F0465F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964402" w:rsidRPr="00F0465F" w:rsidRDefault="00964402" w:rsidP="0096440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D918D4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Default="00964402" w:rsidP="00964402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6" w:name="n72"/>
      <w:bookmarkEnd w:id="6"/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CB4A77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9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964402" w:rsidRPr="00B63905" w:rsidRDefault="00964402" w:rsidP="00964402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964402" w:rsidRPr="004F43FD" w:rsidRDefault="00964402" w:rsidP="0096440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64402" w:rsidRPr="00936D27" w:rsidRDefault="00964402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964402" w:rsidRPr="00502230" w:rsidRDefault="00964402" w:rsidP="00502230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</w:t>
      </w:r>
      <w:r>
        <w:rPr>
          <w:kern w:val="20"/>
          <w:sz w:val="28"/>
          <w:szCs w:val="28"/>
          <w:lang w:val="uk-UA"/>
        </w:rPr>
        <w:t>и найкращих результатів, визна</w:t>
      </w:r>
      <w:r w:rsidRPr="00936D27">
        <w:rPr>
          <w:kern w:val="20"/>
          <w:sz w:val="28"/>
          <w:szCs w:val="28"/>
          <w:lang w:val="uk-UA"/>
        </w:rPr>
        <w:t>ються переможцями конкурсу і відзначаються дипломами першого, другого і третього ступенів.</w:t>
      </w:r>
    </w:p>
    <w:p w:rsidR="00964402" w:rsidRDefault="00502230" w:rsidP="009644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964402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964402" w:rsidRPr="00936D27" w:rsidRDefault="00502230" w:rsidP="00964402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964402">
        <w:rPr>
          <w:sz w:val="28"/>
          <w:szCs w:val="28"/>
          <w:lang w:val="uk-UA"/>
        </w:rPr>
        <w:t xml:space="preserve">. </w:t>
      </w:r>
      <w:r w:rsidR="00964402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964402">
        <w:rPr>
          <w:kern w:val="20"/>
          <w:sz w:val="28"/>
          <w:szCs w:val="28"/>
          <w:lang w:val="uk-UA"/>
        </w:rPr>
        <w:t xml:space="preserve"> </w:t>
      </w:r>
      <w:r w:rsidR="00964402" w:rsidRPr="00936D27">
        <w:rPr>
          <w:kern w:val="20"/>
          <w:sz w:val="28"/>
          <w:szCs w:val="28"/>
          <w:lang w:val="uk-UA"/>
        </w:rPr>
        <w:tab/>
        <w:t>призами.</w:t>
      </w: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64402" w:rsidRDefault="00964402" w:rsidP="0096440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964402" w:rsidRPr="004F43FD" w:rsidRDefault="00964402" w:rsidP="00964402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964402" w:rsidRDefault="00964402" w:rsidP="00964402">
      <w:pPr>
        <w:jc w:val="both"/>
        <w:rPr>
          <w:lang w:val="uk-UA"/>
        </w:rPr>
      </w:pP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  <w:sectPr w:rsidR="00964402" w:rsidSect="00CD651B">
          <w:headerReference w:type="default" r:id="rId9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964402" w:rsidRDefault="00964402" w:rsidP="00964402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«Комп’ютерна перлинка»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Ind w:w="-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D918D4" w:rsidTr="00D918D4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D918D4" w:rsidRDefault="00D918D4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Pr="003E66F2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D918D4" w:rsidRDefault="00D918D4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Мова програмування для номінації «Графічне програмування»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8D4" w:rsidRDefault="00D918D4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D918D4" w:rsidRDefault="00D918D4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D918D4" w:rsidTr="00D918D4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D918D4" w:rsidTr="00D918D4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D4" w:rsidRDefault="00D918D4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964402" w:rsidRPr="000D0A9F" w:rsidRDefault="00964402" w:rsidP="0096440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E91CFA" w:rsidRPr="00964402" w:rsidRDefault="00E91CFA">
      <w:pPr>
        <w:rPr>
          <w:lang w:val="uk-UA"/>
        </w:rPr>
      </w:pPr>
    </w:p>
    <w:sectPr w:rsidR="00E91CFA" w:rsidRPr="00964402" w:rsidSect="00084B80"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5F" w:rsidRDefault="00E8615F">
      <w:r>
        <w:separator/>
      </w:r>
    </w:p>
  </w:endnote>
  <w:endnote w:type="continuationSeparator" w:id="0">
    <w:p w:rsidR="00E8615F" w:rsidRDefault="00E8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5F" w:rsidRDefault="00E8615F">
      <w:r>
        <w:separator/>
      </w:r>
    </w:p>
  </w:footnote>
  <w:footnote w:type="continuationSeparator" w:id="0">
    <w:p w:rsidR="00E8615F" w:rsidRDefault="00E86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11939">
      <w:rPr>
        <w:noProof/>
      </w:rPr>
      <w:t>2</w:t>
    </w:r>
    <w:r>
      <w:fldChar w:fldCharType="end"/>
    </w:r>
  </w:p>
  <w:p w:rsidR="00084B80" w:rsidRDefault="00E861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382968"/>
    <w:rsid w:val="00452CA8"/>
    <w:rsid w:val="004A6C19"/>
    <w:rsid w:val="00502230"/>
    <w:rsid w:val="00811939"/>
    <w:rsid w:val="00885557"/>
    <w:rsid w:val="00964402"/>
    <w:rsid w:val="009B719A"/>
    <w:rsid w:val="00B04445"/>
    <w:rsid w:val="00B155B1"/>
    <w:rsid w:val="00B45855"/>
    <w:rsid w:val="00C1731E"/>
    <w:rsid w:val="00CF0787"/>
    <w:rsid w:val="00D33087"/>
    <w:rsid w:val="00D73298"/>
    <w:rsid w:val="00D918D4"/>
    <w:rsid w:val="00E8615F"/>
    <w:rsid w:val="00E91CFA"/>
    <w:rsid w:val="00F8363E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7</cp:revision>
  <dcterms:created xsi:type="dcterms:W3CDTF">2020-10-23T08:10:00Z</dcterms:created>
  <dcterms:modified xsi:type="dcterms:W3CDTF">2023-10-24T09:12:00Z</dcterms:modified>
</cp:coreProperties>
</file>